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网络安全等级保护测评服务技术需求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</w:rPr>
        <w:t>网络安全等级保护测评服务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/>
        </w:rPr>
        <w:t>测评对象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等级保护范围参考《信息安全技术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网络安全等级保护定级指南》，结合保山市中医医院实际网络及信息系统现状进行判定，本次测评系统对象如下：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9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系统名称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系统定级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HIS系统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三级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/>
        </w:rPr>
        <w:t>测评依据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《中华人民共和国网络安全法》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《信息安全等级保护管理办法》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《信息安全技术 网络安全等级保护定级指南》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《信息安全技术 网络安全等级保护基本要求》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《信息安全技术 网络安全等级保护测评要求》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《信息安全技术 网络安全等级保护测评过程指南》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三级系统测评指标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依据《信息安全技术 网络安全等级保护基本要求》，本次保山市中医医院等级测评的指标如下：</w:t>
      </w:r>
    </w:p>
    <w:tbl>
      <w:tblPr>
        <w:tblStyle w:val="3"/>
        <w:tblW w:w="499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05"/>
        <w:gridCol w:w="3100"/>
        <w:gridCol w:w="1450"/>
        <w:gridCol w:w="15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659" w:type="pct"/>
            <w:tcBorders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安全要求</w:t>
            </w:r>
          </w:p>
        </w:tc>
        <w:tc>
          <w:tcPr>
            <w:tcW w:w="996" w:type="pct"/>
            <w:tcBorders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安全分类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安全子类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测评项数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安全通用要求</w:t>
            </w: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安全物理环境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物理位置的选择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物理访问控制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防盗窃和防破坏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防雷击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防火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防水和防潮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防静电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温湿度控制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电力供应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电磁防护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安全通信网络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网络架构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通信传输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可信验证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安全区域边界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边界防护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访问控制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入侵防范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恶意代码防范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安全审计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可信验证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安全计算环境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身份鉴别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实际测评项数根据测评对象数量确定，每个测评对象有23个测评项。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访问控制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安全审计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入侵防范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恶意代码防范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可信验证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数据完整性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数据备份恢复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剩余信息保护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个人信息保护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安全管理中心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系统管理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审计管理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安全管理制度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安全策略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管理制度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制定和发布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评审和修订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安全管理机构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岗位设置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人员配备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授权和审批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沟通和合作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审核和检查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安全管理人员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人员录用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人员离岗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安全意识教育和培训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外部人员访问管理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安全建设管理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定级和备案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安全方案设计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产品采购和使用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自行软件开发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外包软件开发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工程实施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测试验收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系统交付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等级测评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服务供应商选择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安全运维管理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环境管理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资产管理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介质管理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设备维护管理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漏洞和风险管理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网络和系统安全管理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恶意代码防范管理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配置管理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密码管理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变更管理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备份与恢复管理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安全事件处置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应急预案管理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外包运维管理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测评方式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本次保山市中医医院等级测评实施严格遵循《信息安全技术 网络安全等级保护测评要求》，将综合采用访谈、检查和测试三类测评方式。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宋体" w:hAnsi="宋体" w:eastAsia="方正仿宋_GBK" w:cstheme="minorBidi"/>
          <w:kern w:val="2"/>
          <w:sz w:val="32"/>
          <w:szCs w:val="24"/>
          <w:lang w:val="en-US" w:eastAsia="zh-CN" w:bidi="ar-SA"/>
        </w:rPr>
        <w:t>1．</w:t>
      </w:r>
      <w:r>
        <w:rPr>
          <w:rFonts w:hint="eastAsia"/>
        </w:rPr>
        <w:t>访谈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访谈是指测评人员通过与被测系统有关人员（个人/群体）进行交流、询问等活动，获取证据以证明信息系统安全保护措施是否有效的一类方法。本次等级测评采取访谈方式涉及对象为安全物理环境、安全通信网络、安全区域边界、安全计算环境、安全管理中心、安全管理等方面内容。其中安全物理环境、安全管理重点采取访谈方式。在访谈的广度上，访谈覆盖不同类型的系统管理人员，包括系统负责人、机房管理员、系统管理员、网络管理员、开发人员、应用业务人员、文档管理员等；在访谈的深度上，访谈包含通用和高级的问题以及一些有难度和探索性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宋体" w:hAnsi="宋体" w:eastAsia="方正仿宋_GBK" w:cstheme="minorBidi"/>
          <w:kern w:val="2"/>
          <w:sz w:val="32"/>
          <w:szCs w:val="24"/>
          <w:lang w:val="en-US" w:eastAsia="zh-CN" w:bidi="ar-SA"/>
        </w:rPr>
        <w:t>2．</w:t>
      </w:r>
      <w:r>
        <w:rPr>
          <w:rFonts w:hint="eastAsia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检查是指测评人员通过对评估对象进行观察、查验、分析等活动，获取证据以证明信息系统安全保护措施是否有效的一类方法。本次测评采取检查方式主要涉及对象为安全物理环境、安全通信网络、安全区域边界、安全计算环境、安全管理中心、安全管理制度、安全管理机构、安全管理人员、安全建设管理、安全运维管理等方面的内容。检查又可细分为配置检查、文档审查及实地查看三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A.配置检查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利用上机验证的方式检查服务器操作系统、数据库、网络设备、安全设备、应用系统的配置是否正确，测评其实施的正确性、有效性及完整性。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B.文档审查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检查制度、策略、操作规程、制度执行情况记录等文档（包括安全方针文件、安全管理制度、安全管理的执行过程文档、系统设计方案、网络设备的技术资料、系统和产品的实际配置说明、系统的各种运行记录文档、机房建设相关资料、机房出入记录等过程记录文档）的完整性，以及这些文件之间的内部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C.实地查看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通过实地的观察网络安全技术设施部署情况、关键网络节点连接情况、机房物理环境、办公环境等方面的安全情况，评估相关安全措施是否达到了相应等级的安全要求。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宋体" w:hAnsi="宋体" w:eastAsia="方正仿宋_GBK" w:cstheme="minorBidi"/>
          <w:kern w:val="2"/>
          <w:sz w:val="32"/>
          <w:szCs w:val="24"/>
          <w:lang w:val="en-US" w:eastAsia="zh-CN" w:bidi="ar-SA"/>
        </w:rPr>
        <w:t>3．</w:t>
      </w:r>
      <w:r>
        <w:rPr>
          <w:rFonts w:hint="eastAsia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测试是指评估人员使用预定的方法/工具使评估对象产生特定的行为，通过查看、分析这些行为的结果，获取证据以证明信息系统安全保护措施是否有效的一类方法。测试又可细分为漏洞扫描及案例验证测试。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A.漏洞扫描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通过漏洞扫描工具对操作系统、数据库及WEB应用系统等进行脆弱性探测，定位目标系统存在的安全漏洞。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B.案例验证测试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通过人工的方式对安全策略、应用系统安全功能、安全漏洞等进行验证性测试。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（五）</w:t>
      </w:r>
      <w:r>
        <w:rPr>
          <w:rFonts w:hint="eastAsia"/>
        </w:rPr>
        <w:t>检查工具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通过漏洞扫描服务工具，结合人工分析实现的方式对网络设备、安全设备、服务器、业务系统、数据库、终端进行资产测绘分析及漏洞扫描。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漏洞扫描服务工具需具备以下功能（单台设备，需分别提供截图证明）：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．任务扫描：支持自定义添加规则，支持资产扫描、资产及漏洞扫描两种任务类型；支持Treck协议栈指纹检测、域名解析扫描；任务支持暂停、删除；支持查看本任务的资产数据、漏洞数据；支持针对本任务设置扫描参数，如扫描速率、协议并发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2．可指定资产范围进行漏洞专扫：可选定自定义资产范围及自定义漏洞POC进行漏洞专扫扫描; 针对已扫描出来的资产，罗列出每个POC可能影响和可扫描的单位资产。支持对存在APT组织使用过的漏洞进行识别并标记。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3．风险识别：系统通过规则识别对资产存在可疑风险（木马后门、集成工具、远程运维）的风险详情进行识别统计，并展示在报告中。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4．协议识别数：支持300种以上的主流协议识别，包括但不限于如下协议：ancp(6068)、bitcoin(8333)、ceph(1311|1302|1314)、dgraph_grpc(5080|7080|9080)、hikvision(8000)、git(9418)。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5．端口识别数：识别资产目标开放的端口不少于700种，包括:23（crestron-ctp，telnetOld，ztelnet）、113（isakmp，isakmp-udp，identd）、2628（dictionary）、6001（x11，ncacn_http，jt808，http，acti-control）等特殊端口的识别。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6．识别规则数目和POC数量：总规则集数量超过350000条，系统POC数量超过4200条。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（六）</w:t>
      </w:r>
      <w:r>
        <w:rPr>
          <w:rFonts w:hint="eastAsia"/>
        </w:rPr>
        <w:t>测评结果输出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《网络安全等级保护测评报告》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（七）</w:t>
      </w:r>
      <w:r>
        <w:rPr>
          <w:rFonts w:hint="eastAsia"/>
        </w:rPr>
        <w:t>项目服务人员要求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测评机构派遣参与项目组的成员至少3人，派遣的服务人员须已取得网络安全层面的资格认证证书，其中，担任本项目的项目经理人员需同时具备信息系统项目管理师（高级）证书和CIIP-I、CISP、CISSP、网络安全等级测评师（高级）证书；派遣项目组成员须有cisp、网络安全等级保护测评师证书，项目人员需要提供不少于6个月的社保缴纳证明（需体现参保时间、身份证号码、参保机构等）。</w:t>
      </w:r>
    </w:p>
    <w:sectPr>
      <w:footerReference r:id="rId3" w:type="default"/>
      <w:pgSz w:w="11906" w:h="16838"/>
      <w:pgMar w:top="2098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WNjNDE2MzdiMDQzZDExNzViM2U3ZjI4ZTBiZjUifQ=="/>
  </w:docVars>
  <w:rsids>
    <w:rsidRoot w:val="53C05C51"/>
    <w:rsid w:val="37632F73"/>
    <w:rsid w:val="53C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2023-09-19T03:19:00Z</dcterms:created>
  <dc:creator>龙龙516</dc:creator>
  <cp:lastModifiedBy>龙龙516</cp:lastModifiedBy>
  <dcterms:modified xsi:type="dcterms:W3CDTF">2023-09-19T03:26:33Z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955503C180AF4B1BAF70BBD209EF172F_13</vt:lpwstr>
  </property>
</Properties>
</file>