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附件2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体质判定标准表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300" w:lineRule="exact"/>
        <w:rPr>
          <w:rFonts w:ascii="仿宋_GB2312"/>
          <w:b/>
          <w:sz w:val="24"/>
          <w:szCs w:val="24"/>
        </w:rPr>
      </w:pPr>
      <w:r>
        <w:rPr>
          <w:rFonts w:ascii="仿宋_GB2312"/>
          <w:b/>
          <w:sz w:val="24"/>
          <w:szCs w:val="24"/>
        </w:rPr>
        <w:t>姓</w:t>
      </w:r>
      <w:r>
        <w:rPr>
          <w:rFonts w:hint="eastAsia" w:ascii="仿宋_GB2312"/>
          <w:b/>
          <w:sz w:val="24"/>
          <w:szCs w:val="24"/>
        </w:rPr>
        <w:t xml:space="preserve">  </w:t>
      </w:r>
      <w:r>
        <w:rPr>
          <w:rFonts w:ascii="仿宋_GB2312"/>
          <w:b/>
          <w:sz w:val="24"/>
          <w:szCs w:val="24"/>
        </w:rPr>
        <w:t>名：                                        编号</w:t>
      </w:r>
      <w:r>
        <w:rPr>
          <w:rFonts w:hint="eastAsia" w:ascii="仿宋_GB2312"/>
          <w:b/>
          <w:sz w:val="24"/>
          <w:szCs w:val="24"/>
        </w:rPr>
        <w:t>□□□-□□□□□</w:t>
      </w:r>
    </w:p>
    <w:tbl>
      <w:tblPr>
        <w:tblStyle w:val="3"/>
        <w:tblW w:w="8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33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体质类型及对应条目</w:t>
            </w:r>
          </w:p>
        </w:tc>
        <w:tc>
          <w:tcPr>
            <w:tcW w:w="33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条  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气虚质（2）（3）（4）（14）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阳虚质（11）（12）（13）（29）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阴虚质（10）（21）（26）（31）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痰湿质（9）（16）（28）（32）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湿热质（23）（25）（27）（30）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血瘀质（19）（22）（24）（33）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气郁质（5）（6）（7）（8）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特禀质（15）（17）（18）（20）</w:t>
            </w:r>
          </w:p>
        </w:tc>
        <w:tc>
          <w:tcPr>
            <w:tcW w:w="33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各条目得分相加≥11分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各条目得分相加9～10分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倾向是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各条目得分相加≤8分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平和质（1）（2）（4）（5）（13）</w:t>
            </w:r>
          </w:p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（其中，（2）（4）（5）（13）反向计分，即1→5，2→4，3→3，4→2，5→1）</w:t>
            </w:r>
          </w:p>
        </w:tc>
        <w:tc>
          <w:tcPr>
            <w:tcW w:w="33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各条目得分相加≥17分，同时其他8种体质得分都≤8分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各条目得分相加≥17分，同时其他8种体质得分都≤10分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基本是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不满足上述条件者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否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仿宋_GB2312" w:hAnsi="宋体"/>
          <w:b/>
          <w:sz w:val="24"/>
          <w:szCs w:val="24"/>
        </w:rPr>
      </w:pPr>
      <w:r>
        <w:rPr>
          <w:rFonts w:ascii="仿宋_GB2312" w:hAnsi="宋体"/>
          <w:b/>
          <w:sz w:val="24"/>
          <w:szCs w:val="24"/>
        </w:rPr>
        <w:t>填表说明：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1．该表不用纳入居民的健康档案。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2．体质辨识结果的准确性取决于接受服务者回答问题准确程度，如果出现自相矛盾的问题回答，则会出现自相矛盾的辨识结果，需要提供服务者核对其问题回答的准确性。处理方案有以下几种：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（1）在回答问题过程中及时提醒接受服务者理解所提问题。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（2）出现两种及以上判定结果即兼夹体质是正常的，比如气阴两虚，则两个体质都如实记录，以分数高的为主要体质进行指导。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（3）如果出现判定结果分数一致，则由中医师依据专业知识判定，然后进行指导。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（4）如果出现既是阴虚又是阳虚这样的矛盾判定结果，要返回查找原因，帮助老年人准确采集信息，必要时候由中医师进行辅助判定。</w:t>
      </w:r>
    </w:p>
    <w:p>
      <w:pPr>
        <w:spacing w:line="360" w:lineRule="exact"/>
        <w:ind w:firstLine="420" w:firstLineChars="200"/>
      </w:pPr>
      <w:r>
        <w:rPr>
          <w:rFonts w:hint="eastAsia" w:ascii="仿宋_GB2312"/>
          <w:sz w:val="21"/>
          <w:szCs w:val="21"/>
        </w:rPr>
        <w:t>（5）如果出现每种体质都不是或者无法判断体质类型等情况，则返回查找原因，或需2周后重新采集填写。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0F48"/>
    <w:rsid w:val="573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2018-05-02T08:44:00Z</dcterms:created>
  <dc:creator>Administrator</dc:creator>
  <cp:lastModifiedBy>Administrator</cp:lastModifiedBy>
  <dcterms:modified xsi:type="dcterms:W3CDTF">2018-05-02T08:44:45Z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